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2021-12-06 16:24:06</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and persistence,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51" w:name="methods"/>
    <w:p>
      <w:pPr>
        <w:pStyle w:val="Heading1"/>
      </w:pPr>
      <w:r>
        <w:t xml:space="preserve">Methods</w:t>
      </w:r>
    </w:p>
    <w:bookmarkStart w:id="47"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(psu),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3">
        <w:r>
          <w:rPr>
            <w:rStyle w:val="Hyperlink"/>
          </w:rPr>
          <w:t xml:space="preserve">FWC-FWRI HAB Monitoring Database</w:t>
        </w:r>
      </w:hyperlink>
      <w:r>
        <w:t xml:space="preserve">. Phytoplankton blooms were described qualitatively as low/medium/high concentrations based on</w:t>
      </w:r>
      <w:r>
        <w:t xml:space="preserve"> </w:t>
      </w:r>
      <w:hyperlink r:id="rId44">
        <w:r>
          <w:rPr>
            <w:rStyle w:val="Hyperlink"/>
          </w:rPr>
          <w:t xml:space="preserve">FWC breakpoints</w:t>
        </w:r>
      </w:hyperlink>
      <w:r>
        <w:t xml:space="preserve"> </w:t>
      </w:r>
      <w:r>
        <w:t xml:space="preserve">at 10,000/100,000/1,000,000 cells/L. Fish kill reports were obtained from the FWC</w:t>
      </w:r>
      <w:r>
        <w:t xml:space="preserve"> </w:t>
      </w:r>
      <w:hyperlink r:id="rId45">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6">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7"/>
    <w:bookmarkStart w:id="50"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8">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9">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included in this paper through an interactive, online application. Links and details are provided in supplement.</w:t>
      </w:r>
    </w:p>
    <w:bookmarkEnd w:id="50"/>
    <w:bookmarkEnd w:id="51"/>
    <w:bookmarkStart w:id="57" w:name="results"/>
    <w:p>
      <w:pPr>
        <w:pStyle w:val="Heading1"/>
      </w:pPr>
      <w:r>
        <w:t xml:space="preserve">Results</w:t>
      </w:r>
    </w:p>
    <w:bookmarkStart w:id="52"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2"/>
    <w:bookmarkStart w:id="53"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3"/>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medium cell concentrations and fish kill reports were observed both before and after storm passage.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 As anticipated, the 2021 results showed that indicators of eutrophication from the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w:t>
      </w:r>
      <w:r>
        <w:t xml:space="preserve"> </w:t>
      </w:r>
      <w:r>
        <w:rPr>
          <w:iCs/>
          <w:i/>
        </w:rPr>
        <w:t xml:space="preserve">K. brevis</w:t>
      </w:r>
      <w:r>
        <w:t xml:space="preserve"> </w:t>
      </w:r>
      <w:r>
        <w:t xml:space="preserve">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and interannual changes and those in potential response to the Piney Point release. Cyanobacteria macroalgae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within the broader distribution of these species.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mu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w:t>
      </w:r>
      <m:oMath>
        <m:r>
          <m:t>μ</m:t>
        </m:r>
      </m:oMath>
      <w:r>
        <w:t xml:space="preserve">g/L), and (c) Secchi disk depth (meters) by area based on historical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89" w:name="references"/>
    <w:p>
      <w:pPr>
        <w:pStyle w:val="Heading1"/>
      </w:pPr>
      <w:r>
        <w:t xml:space="preserve">References</w:t>
      </w:r>
    </w:p>
    <w:bookmarkStart w:id="188"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3">
        <w:r>
          <w:rPr>
            <w:rStyle w:val="Hyperlink"/>
          </w:rPr>
          <w:t xml:space="preserve">https://doi.org/10.18785/gcr.2901.02</w:t>
        </w:r>
      </w:hyperlink>
    </w:p>
    <w:bookmarkEnd w:id="84"/>
    <w:bookmarkStart w:id="86"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5">
        <w:r>
          <w:rPr>
            <w:rStyle w:val="Hyperlink"/>
          </w:rPr>
          <w:t xml:space="preserve">https://doi.org/10.1007/s12237-017-0287-1</w:t>
        </w:r>
      </w:hyperlink>
    </w:p>
    <w:bookmarkEnd w:id="86"/>
    <w:bookmarkStart w:id="87" w:name="ref-Beck21"/>
    <w:p>
      <w:pPr>
        <w:pStyle w:val="Bibliography"/>
      </w:pPr>
      <w:r>
        <w:t xml:space="preserve">Beck, M.W., Schrandt, M., Wessel, M., Sherwood, E., Raulerson, G., Best, B., 2021. Tbeptools: Data and indicators for the tampa bay estuary program.</w:t>
      </w:r>
    </w:p>
    <w:bookmarkEnd w:id="87"/>
    <w:bookmarkStart w:id="88" w:name="ref-Bryan20"/>
    <w:p>
      <w:pPr>
        <w:pStyle w:val="Bibliography"/>
      </w:pPr>
      <w:r>
        <w:t xml:space="preserve">Bryan, J., 2020. googlesheets4: Access google sheets using the sheets API V4.</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1">
        <w:r>
          <w:rPr>
            <w:rStyle w:val="Hyperlink"/>
          </w:rPr>
          <w:t xml:space="preserve">https://doi.org/10.1007/s12237-013-9701-5</w:t>
        </w:r>
      </w:hyperlink>
    </w:p>
    <w:bookmarkEnd w:id="92"/>
    <w:bookmarkStart w:id="94"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3">
        <w:r>
          <w:rPr>
            <w:rStyle w:val="Hyperlink"/>
          </w:rPr>
          <w:t xml:space="preserve">https://doi.org/10.4031/MTSJ.52.3.6</w:t>
        </w:r>
      </w:hyperlink>
    </w:p>
    <w:bookmarkEnd w:id="94"/>
    <w:bookmarkStart w:id="96" w:name="ref-Chen19"/>
    <w:p>
      <w:pPr>
        <w:pStyle w:val="Bibliography"/>
      </w:pPr>
      <w:r>
        <w:t xml:space="preserve">Chen, J., Weisberg, R.H., Liu, Y., Zheng, L., Zhu, J., 2019. On the momentum balance of tampa bay. Journal of Geophysical Research: Oceans 124, 4492–4510.</w:t>
      </w:r>
      <w:r>
        <w:t xml:space="preserve"> </w:t>
      </w:r>
      <w:hyperlink r:id="rId95">
        <w:r>
          <w:rPr>
            <w:rStyle w:val="Hyperlink"/>
          </w:rPr>
          <w:t xml:space="preserve">https://doi.org/10.1029/2018JC014890</w:t>
        </w:r>
      </w:hyperlink>
    </w:p>
    <w:bookmarkEnd w:id="96"/>
    <w:bookmarkStart w:id="98"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7">
        <w:r>
          <w:rPr>
            <w:rStyle w:val="Hyperlink"/>
          </w:rPr>
          <w:t xml:space="preserve">https://doi.org/10.1890/1051-0761(2006)016[1405:UOGMAI]2.0.CO;2</w:t>
        </w:r>
      </w:hyperlink>
    </w:p>
    <w:bookmarkEnd w:id="98"/>
    <w:bookmarkStart w:id="99" w:name="ref-DAgostino20"/>
    <w:p>
      <w:pPr>
        <w:pStyle w:val="Bibliography"/>
      </w:pPr>
      <w:r>
        <w:t xml:space="preserve">D’Agostino McGowan, L., Bryan, J., 2020. Googledrive: An interface to google drive.</w:t>
      </w:r>
    </w:p>
    <w:bookmarkEnd w:id="99"/>
    <w:bookmarkStart w:id="100"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0"/>
    <w:bookmarkStart w:id="101"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1"/>
    <w:bookmarkStart w:id="103"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2">
        <w:r>
          <w:rPr>
            <w:rStyle w:val="Hyperlink"/>
          </w:rPr>
          <w:t xml:space="preserve">https://www.jstor.org/stable/24322132</w:t>
        </w:r>
      </w:hyperlink>
    </w:p>
    <w:bookmarkEnd w:id="103"/>
    <w:bookmarkStart w:id="105"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4">
        <w:r>
          <w:rPr>
            <w:rStyle w:val="Hyperlink"/>
          </w:rPr>
          <w:t xml:space="preserve">https://doi.org/10.1007/s00027-011-0180-0</w:t>
        </w:r>
      </w:hyperlink>
    </w:p>
    <w:bookmarkEnd w:id="105"/>
    <w:bookmarkStart w:id="107"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6">
        <w:r>
          <w:rPr>
            <w:rStyle w:val="Hyperlink"/>
          </w:rPr>
          <w:t xml:space="preserve">https://doi.org/10.1016/j.marpolbul.2015.10.047</w:t>
        </w:r>
      </w:hyperlink>
    </w:p>
    <w:bookmarkEnd w:id="107"/>
    <w:bookmarkStart w:id="108"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2"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1">
        <w:r>
          <w:rPr>
            <w:rStyle w:val="Hyperlink"/>
          </w:rPr>
          <w:t xml:space="preserve">https://doi.org/10.1016/S0302-3524(80)80065-X</w:t>
        </w:r>
      </w:hyperlink>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5">
        <w:r>
          <w:rPr>
            <w:rStyle w:val="Hyperlink"/>
          </w:rPr>
          <w:t xml:space="preserve">https://doi.org/10.1002/2016JC011938</w:t>
        </w:r>
      </w:hyperlink>
    </w:p>
    <w:bookmarkEnd w:id="136"/>
    <w:bookmarkStart w:id="138"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7">
        <w:r>
          <w:rPr>
            <w:rStyle w:val="Hyperlink"/>
          </w:rPr>
          <w:t xml:space="preserve">https://doi.org/10.1016/j.ocecoaman.2005.07.002</w:t>
        </w:r>
      </w:hyperlink>
    </w:p>
    <w:bookmarkEnd w:id="138"/>
    <w:bookmarkStart w:id="140"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9">
        <w:r>
          <w:rPr>
            <w:rStyle w:val="Hyperlink"/>
          </w:rPr>
          <w:t xml:space="preserve">https://doi.org/10.1016/j.hal.2020.101900</w:t>
        </w:r>
      </w:hyperlink>
    </w:p>
    <w:bookmarkEnd w:id="140"/>
    <w:bookmarkStart w:id="142"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1">
        <w:r>
          <w:rPr>
            <w:rStyle w:val="Hyperlink"/>
          </w:rPr>
          <w:t xml:space="preserve">https://doi.org/10.1016/j.envsoft.2019.03.027</w:t>
        </w:r>
      </w:hyperlink>
    </w:p>
    <w:bookmarkEnd w:id="142"/>
    <w:bookmarkStart w:id="144"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3">
        <w:r>
          <w:rPr>
            <w:rStyle w:val="Hyperlink"/>
          </w:rPr>
          <w:t xml:space="preserve">https://doi.org/10.1021/acs.est.1c05311</w:t>
        </w:r>
      </w:hyperlink>
    </w:p>
    <w:bookmarkEnd w:id="144"/>
    <w:bookmarkStart w:id="146" w:name="ref-Nixon95"/>
    <w:p>
      <w:pPr>
        <w:pStyle w:val="Bibliography"/>
      </w:pPr>
      <w:r>
        <w:t xml:space="preserve">Nixon, S.W., 1995. Coastal marine eutrophication: A definition, social causes, and future concerns. Ophelia 41, 199–219.</w:t>
      </w:r>
      <w:r>
        <w:t xml:space="preserve"> </w:t>
      </w:r>
      <w:hyperlink r:id="rId145">
        <w:r>
          <w:rPr>
            <w:rStyle w:val="Hyperlink"/>
          </w:rPr>
          <w:t xml:space="preserve">https://doi.org/10.1080/00785236.1995.10422044</w:t>
        </w:r>
      </w:hyperlink>
    </w:p>
    <w:bookmarkEnd w:id="146"/>
    <w:bookmarkStart w:id="147"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2020. R: A language and environment for statistical computing, v4.0.3.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4"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3">
        <w:r>
          <w:rPr>
            <w:rStyle w:val="Hyperlink"/>
          </w:rPr>
          <w:t xml:space="preserve">https://doi.org/10.1016/j.hal.2021.102118</w:t>
        </w:r>
      </w:hyperlink>
    </w:p>
    <w:bookmarkEnd w:id="164"/>
    <w:bookmarkStart w:id="166"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5">
        <w:r>
          <w:rPr>
            <w:rStyle w:val="Hyperlink"/>
          </w:rPr>
          <w:t xml:space="preserve">https://doi.org/10.1016/j.jembe.2005.11.025</w:t>
        </w:r>
      </w:hyperlink>
    </w:p>
    <w:bookmarkEnd w:id="166"/>
    <w:bookmarkStart w:id="168"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7">
        <w:r>
          <w:rPr>
            <w:rStyle w:val="Hyperlink"/>
          </w:rPr>
          <w:t xml:space="preserve">https://doi.org/10.1080/00139307509435842</w:t>
        </w:r>
      </w:hyperlink>
    </w:p>
    <w:bookmarkEnd w:id="168"/>
    <w:bookmarkStart w:id="170"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9">
        <w:r>
          <w:rPr>
            <w:rStyle w:val="Hyperlink"/>
          </w:rPr>
          <w:t xml:space="preserve">https://doi.org/10.1080/00139307209435473</w:t>
        </w:r>
      </w:hyperlink>
    </w:p>
    <w:bookmarkEnd w:id="170"/>
    <w:bookmarkStart w:id="17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1"/>
    <w:bookmarkStart w:id="17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2">
        <w:r>
          <w:rPr>
            <w:rStyle w:val="Hyperlink"/>
          </w:rPr>
          <w:t xml:space="preserve">https://doi.org/10.1016/j.jenvman.2009.03.007</w:t>
        </w:r>
      </w:hyperlink>
    </w:p>
    <w:bookmarkEnd w:id="173"/>
    <w:bookmarkStart w:id="175"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4">
        <w:r>
          <w:rPr>
            <w:rStyle w:val="Hyperlink"/>
          </w:rPr>
          <w:t xml:space="preserve">https://doi.org/10.1016/j.marpolbul.2020.111247</w:t>
        </w:r>
      </w:hyperlink>
    </w:p>
    <w:bookmarkEnd w:id="175"/>
    <w:bookmarkStart w:id="177"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6">
        <w:r>
          <w:rPr>
            <w:rStyle w:val="Hyperlink"/>
          </w:rPr>
          <w:t xml:space="preserve">https://doi.org/10.1016/j.marpolbul.2018.08.049</w:t>
        </w:r>
      </w:hyperlink>
    </w:p>
    <w:bookmarkEnd w:id="177"/>
    <w:bookmarkStart w:id="179"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8">
        <w:r>
          <w:rPr>
            <w:rStyle w:val="Hyperlink"/>
          </w:rPr>
          <w:t xml:space="preserve">https://doi.org/10.4319/lo.1997.42.5_part_2.1105</w:t>
        </w:r>
      </w:hyperlink>
    </w:p>
    <w:bookmarkEnd w:id="179"/>
    <w:bookmarkStart w:id="180"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0"/>
    <w:bookmarkStart w:id="182"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1">
        <w:r>
          <w:rPr>
            <w:rStyle w:val="Hyperlink"/>
          </w:rPr>
          <w:t xml:space="preserve">https://doi.org/10.1029/2018JC014887</w:t>
        </w:r>
      </w:hyperlink>
    </w:p>
    <w:bookmarkEnd w:id="182"/>
    <w:bookmarkStart w:id="184"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3">
        <w:r>
          <w:rPr>
            <w:rStyle w:val="Hyperlink"/>
          </w:rPr>
          <w:t xml:space="preserve">https://doi.org/10.1016/j.hal.2014.04.010</w:t>
        </w:r>
      </w:hyperlink>
    </w:p>
    <w:bookmarkEnd w:id="184"/>
    <w:bookmarkStart w:id="186"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5">
        <w:r>
          <w:rPr>
            <w:rStyle w:val="Hyperlink"/>
          </w:rPr>
          <w:t xml:space="preserve">https://doi.org/10.21105/joss.01686</w:t>
        </w:r>
      </w:hyperlink>
    </w:p>
    <w:bookmarkEnd w:id="186"/>
    <w:bookmarkStart w:id="187" w:name="ref-Wood17"/>
    <w:p>
      <w:pPr>
        <w:pStyle w:val="Bibliography"/>
      </w:pPr>
      <w:r>
        <w:t xml:space="preserve">Wood, S.N., 2017. Generalized additive models: An introduction with r, 2nd ed. Chapman; Hall, CRC Press, London, United Kingdom.</w:t>
      </w:r>
    </w:p>
    <w:bookmarkEnd w:id="187"/>
    <w:bookmarkEnd w:id="188"/>
    <w:bookmarkEnd w:id="189"/>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6"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3" Target="https://myfwc.com/research/redtide/monitoring/database/" TargetMode="External" /><Relationship Type="http://schemas.openxmlformats.org/officeDocument/2006/relationships/hyperlink" Id="rId44"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5"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9" Target="https://shiny.tbep.org/piney-point/"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8"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2021-12-06T21:24:13Z</dcterms:created>
  <dcterms:modified xsi:type="dcterms:W3CDTF">2021-12-06T21:24:13Z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